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nachfolgende, beispielhafte Aufstellung von Geräte- und Ausrüstungsgruppen zeigt generelle Optionen zur Organisation erforderlicher Prüfungen auf.</w:t>
      </w:r>
    </w:p>
    <w:p>
      <w:pPr>
        <w:spacing w:before="0" w:after="160" w:line="288"/>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Die Auswahl und Festlegung der betroffenen Geräte und Ausrüstung sollte nach Abwägung der Relevanz für den zu erwartenden Einsatz priorisiert werden. Beispielsweise ist die Persönliche Schutzausrüstung gegen Absturz oder auch das Atemschutzgerät weiterhin nach der Benutzung durch eine hierfür befähigte Person zu prüfen. Hier ergeben sich im Rahmen der Gefährdungsbeurteilung lediglich Gestaltungsspielräume im Prüfablauf.</w:t>
      </w:r>
    </w:p>
    <w:p>
      <w:pPr>
        <w:spacing w:before="0" w:after="160" w:line="259"/>
        <w:ind w:right="0" w:left="0" w:firstLine="0"/>
        <w:jc w:val="left"/>
        <w:rPr>
          <w:rFonts w:ascii="Calibri" w:hAnsi="Calibri" w:cs="Calibri" w:eastAsia="Calibri"/>
          <w:color w:val="auto"/>
          <w:spacing w:val="0"/>
          <w:position w:val="0"/>
          <w:sz w:val="24"/>
          <w:shd w:fill="auto" w:val="clear"/>
        </w:rPr>
      </w:pPr>
    </w:p>
    <w:tbl>
      <w:tblPr/>
      <w:tblGrid>
        <w:gridCol w:w="4531"/>
        <w:gridCol w:w="4395"/>
      </w:tblGrid>
      <w:tr>
        <w:trPr>
          <w:trHeight w:val="1" w:hRule="atLeast"/>
          <w:jc w:val="left"/>
        </w:trPr>
        <w:tc>
          <w:tcPr>
            <w:tcW w:w="4531" w:type="dxa"/>
            <w:tcBorders>
              <w:top w:val="single" w:color="8eaadb" w:sz="4"/>
              <w:left w:val="single" w:color="8eaadb" w:sz="4"/>
              <w:bottom w:val="single" w:color="8eaadb" w:sz="4"/>
              <w:right w:val="single" w:color="ffffff"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Ersatzweise Sichtprüfung</w:t>
              <w:br/>
              <w:t xml:space="preserve">gemäß oben aufgeführten Voraussetzungen</w:t>
            </w:r>
          </w:p>
        </w:tc>
        <w:tc>
          <w:tcPr>
            <w:tcW w:w="4395" w:type="dxa"/>
            <w:tcBorders>
              <w:top w:val="single" w:color="8eaadb" w:sz="4"/>
              <w:left w:val="single" w:color="ffffff"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Prüfung </w:t>
            </w:r>
            <w:r>
              <w:rPr>
                <w:rFonts w:ascii="Calibri" w:hAnsi="Calibri" w:cs="Calibri" w:eastAsia="Calibri"/>
                <w:color w:val="auto"/>
                <w:spacing w:val="0"/>
                <w:position w:val="0"/>
                <w:sz w:val="22"/>
                <w:u w:val="single"/>
                <w:shd w:fill="auto" w:val="clear"/>
              </w:rPr>
              <w:t xml:space="preserve">nach Benutzung</w:t>
            </w:r>
            <w:r>
              <w:rPr>
                <w:rFonts w:ascii="Calibri" w:hAnsi="Calibri" w:cs="Calibri" w:eastAsia="Calibri"/>
                <w:color w:val="auto"/>
                <w:spacing w:val="0"/>
                <w:position w:val="0"/>
                <w:sz w:val="22"/>
                <w:shd w:fill="auto" w:val="clear"/>
              </w:rPr>
              <w:t xml:space="preserve"> </w:t>
              <w:br/>
              <w:t xml:space="preserve">durch befähigte Person erforderlich</w:t>
            </w: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Leitern</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Atemschutzgeräte </w:t>
            </w: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Druck- und Saugschläuche</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Chemikalienschutzanzug</w:t>
            </w: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Schutzkleidung, Helm, Stiefel, Handschuhe</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PSA gegen Absturz</w:t>
            </w: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Handwerkzeug</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Sprungrettungsgerät</w:t>
            </w: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Arbeitsgerät (handgeführt)</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Beleuchtungsgerät</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Signalgerät</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Fernmeldegerät</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Löschgerät</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Ortsveränderliche elektrische Betriebsmittel</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31"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4395" w:type="dxa"/>
            <w:tcBorders>
              <w:top w:val="single" w:color="8eaadb" w:sz="4"/>
              <w:left w:val="single" w:color="8eaadb" w:sz="4"/>
              <w:bottom w:val="single" w:color="8eaadb" w:sz="4"/>
              <w:right w:val="single" w:color="8eaadb" w:sz="4"/>
            </w:tcBorders>
            <w:shd w:color="000000" w:fill="ffffff" w:val="clear"/>
            <w:tcMar>
              <w:left w:w="108" w:type="dxa"/>
              <w:right w:w="108"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